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20EFF" w:rsidP="00D72BEB">
            <w:pPr>
              <w:rPr>
                <w:sz w:val="26"/>
                <w:szCs w:val="26"/>
                <w:lang w:val="uk-UA"/>
              </w:rPr>
            </w:pPr>
            <w:r w:rsidRPr="00D20EFF">
              <w:rPr>
                <w:sz w:val="26"/>
                <w:szCs w:val="26"/>
              </w:rPr>
              <w:t>Надання послуг по видаленню аварійних дерев по старостинським округам Сумської міської територіальної громади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sz w:val="26"/>
                <w:szCs w:val="26"/>
              </w:rPr>
              <w:t>Надання послуг по видаленню аварійних дерев по старостинським округам Сумської міської територіальної громади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повинно здійснюватися відповідно до вимог: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D20EFF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м. Суми  «Про затвердження Правил благоустрою міста Суми»</w:t>
            </w:r>
          </w:p>
          <w:p w:rsidR="00D72BEB" w:rsidRPr="009043A2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D20EFF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9043A2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bookmarkStart w:id="0" w:name="_GoBack"/>
            <w:bookmarkEnd w:id="0"/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6865B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D20EFF" w:rsidRPr="00D20EFF">
              <w:rPr>
                <w:sz w:val="26"/>
                <w:szCs w:val="26"/>
                <w:lang w:val="uk-UA"/>
              </w:rPr>
              <w:t>видаленн</w:t>
            </w:r>
            <w:r w:rsidR="00D20EFF">
              <w:rPr>
                <w:sz w:val="26"/>
                <w:szCs w:val="26"/>
                <w:lang w:val="uk-UA"/>
              </w:rPr>
              <w:t>я</w:t>
            </w:r>
            <w:r w:rsidR="00D20EFF" w:rsidRPr="00D20EFF">
              <w:rPr>
                <w:sz w:val="26"/>
                <w:szCs w:val="26"/>
                <w:lang w:val="uk-UA"/>
              </w:rPr>
              <w:t xml:space="preserve"> аварійних дерев по старостинським округам Сумської міської територіальної громади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6865BD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D20EFF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D20EFF">
              <w:rPr>
                <w:sz w:val="26"/>
                <w:szCs w:val="26"/>
                <w:lang w:val="uk-UA"/>
              </w:rPr>
              <w:t>100 000</w:t>
            </w:r>
            <w:r w:rsidR="009043A2" w:rsidRPr="009043A2"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на 2021 рік»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A91E-C1A6-46CF-B26F-9BF441BB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3</TotalTime>
  <Pages>1</Pages>
  <Words>264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2021-07-12T06:37:00Z</cp:lastPrinted>
  <dcterms:created xsi:type="dcterms:W3CDTF">2021-07-12T06:33:00Z</dcterms:created>
  <dcterms:modified xsi:type="dcterms:W3CDTF">2021-07-12T06:38:00Z</dcterms:modified>
</cp:coreProperties>
</file>